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ind w:left="5387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от 9 октября 2020 г. № 659-пп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>П О Л О Ж Е Н И Е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проведения конкурса среди муниципальных 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районов, муниципальных округов и городских округов 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Архангельской области на предоставление субсидий на поддержку проведения муниципальных мероприятий по работе с молодежью 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оценки эффективности реализации органами местного самоуправления муниципальных районов, муниципальных округов 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городских округов Архангельской области мероприятий </w:t>
      </w:r>
    </w:p>
    <w:p w:rsidR="00340CC3" w:rsidRPr="002F7E31" w:rsidRDefault="00340CC3" w:rsidP="00340CC3">
      <w:pPr>
        <w:pStyle w:val="ConsPlusTitle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>по основным направлениям реализации молодежной политики</w:t>
      </w:r>
    </w:p>
    <w:p w:rsidR="00340CC3" w:rsidRPr="002F7E31" w:rsidRDefault="00340CC3" w:rsidP="00340C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340CC3" w:rsidRPr="002F7E31" w:rsidRDefault="00340CC3" w:rsidP="00340C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Положение, разработанное в соответствии со </w:t>
      </w:r>
      <w:hyperlink r:id="rId5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>статьей 139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Бюджетного кодекса Российской Федерации, приказом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Федерального агентства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по делам молодежи от 16 декабря 2019 года № 433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2019 год и плановые мероприятия на 2020 − 2021 годы», областным </w:t>
      </w:r>
      <w:hyperlink r:id="rId6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от 20 сентября 2005 года № 83-5-ОЗ «О молодежной политике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Архангельской области», </w:t>
      </w:r>
      <w:hyperlink r:id="rId7" w:history="1">
        <w:r w:rsidRPr="002F7E31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пунктом 1.6</w:t>
        </w:r>
      </w:hyperlink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перечня мероприятий </w:t>
      </w:r>
      <w:hyperlink r:id="rId8" w:history="1">
        <w:r w:rsidRPr="002F7E31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подпрограммы № 3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«Кадровое, научно-методическое, информационное и инфраструктурное обеспечение молодежной политики и патриотического воспитания» государственной программы Архангельской области «Молодежь Поморья», утвержденной постановлением Правительства Архангельской области от 9 октября 2020 года № 659-пп, устанавливает порядок проведения конкурса по оценке эффективности реализации органами местного самоуправления муниципальных районов, муниципальных округов и городских округов Архангельской области мероприятий по основным направлениям реализации молодежной политики (далее − муниципальные образования) с целью предоставления субсидии из областного бюджета бюджетам муниципальных </w:t>
      </w: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образований (далее − местные бюджеты) на поддержку проведения муниципальных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работе с молодежью (далее соответственно − мероприятия, конкурс, субсидия).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Субсидия включена в перечень субсидий местным бюджетам, предоставляемых из областного бюджета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(далее – органы местного самоуправления) по решению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вопросов местного значения, утвержденный областным законом об областном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бюджете на очередной финансовый год и на плановый период.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2.  Главным распорядителем средств областного бюджета, предусмотренных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предоставление субсидии, и организатором конкурса является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молодежи и спорту Архангельской области (далее − министерство).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3. Субсидия предоставляется в соответствии со сводной бюджетной росписью областного бюджета, доведенными лимитами бюджетных обязательств и предельными объемами финансирования.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субсидии осуществляется в пределах средств областного бюджета, предусмотренных на реализацию пункта 1.6 перечня мероприятий подпрограммы № 3 «Кадровое, научно-методическое, информационное и инфраструктурное обеспечение молодежной политики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патриотического воспитания» государственной программы.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1"/>
      <w:bookmarkEnd w:id="0"/>
    </w:p>
    <w:p w:rsidR="00340CC3" w:rsidRPr="002F7E31" w:rsidRDefault="00340CC3" w:rsidP="00340C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II. Условия предоставления субсидий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4. Субсидия предоставляется местному бюджету при соблюдении следующих условий: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1)  наличие утвержденной муниципальной программы, в рамках которой предполагается реализация мероприятий, на </w:t>
      </w:r>
      <w:proofErr w:type="spell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 (далее − муниципальная программа);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2)  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3) заключение соглашения между министерством и администрацией муниципального образования о предоставлении из областного бюджета </w:t>
      </w: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субсидии местному бюджету, предусматривающего обязательства муниципального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образования по исполнению расходных обязательств, в целях </w:t>
      </w:r>
      <w:proofErr w:type="spellStart"/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субсидия, и ответственность за неисполнение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предусмотренных указанным соглашением обязательств (далее – соглашение);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4) возврат муниципальным образованием средств субсидии в случае, предусмотренном </w:t>
      </w:r>
      <w:hyperlink r:id="rId9" w:history="1">
        <w:r w:rsidRPr="002F7E31">
          <w:rPr>
            <w:rFonts w:ascii="Times New Roman" w:hAnsi="Times New Roman"/>
            <w:color w:val="000000"/>
            <w:sz w:val="28"/>
            <w:szCs w:val="28"/>
          </w:rPr>
          <w:t>пунктом 17</w:t>
        </w:r>
      </w:hyperlink>
      <w:r w:rsidRPr="002F7E31">
        <w:rPr>
          <w:rFonts w:ascii="Times New Roman" w:hAnsi="Times New Roman"/>
          <w:color w:val="000000"/>
          <w:sz w:val="28"/>
          <w:szCs w:val="28"/>
        </w:rPr>
        <w:t xml:space="preserve"> 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и городских округов, городских и сельских поселений Архангельской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области, утвержденных постановлением Правительства Архангельской области </w:t>
      </w:r>
      <w:r w:rsidRPr="002F7E31">
        <w:rPr>
          <w:rFonts w:ascii="Times New Roman" w:hAnsi="Times New Roman"/>
          <w:color w:val="000000"/>
          <w:sz w:val="28"/>
          <w:szCs w:val="28"/>
        </w:rPr>
        <w:t>от 26 декабря 2017 года № 637-пп.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III. Организация и порядок проведения конкурса</w:t>
      </w:r>
    </w:p>
    <w:p w:rsidR="002472B9" w:rsidRDefault="002472B9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5.  Министерство при проведении конкурса: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издает распоряжение о проведении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1"/>
      <w:bookmarkEnd w:id="1"/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  готовит извещение о проведении конкурса в соответствии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распоряжением о проведении конкурса и размещает его на сайте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«Молодежь Архангельской области» в информационно-телекоммуникационной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(http://molod29.ru) не позднее чем за три календарных дня до дня начала его проведения.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должно содержать следующие сведения: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а)  место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срок приема заявок;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  перечень</w:t>
      </w:r>
      <w:proofErr w:type="gramEnd"/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документов, представляемых органом местного самоуправления для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конкурсе в составе заявки;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в)  наименование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адрес и контактную информацию организатора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г)  дату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место проведения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осуществляет прием заявок и их регистрацию в течение одного рабочего дня со дня их поступления;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4) проверяет наличие документов, представляемых в составе заявки, указанных в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6 настоящего Положения;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5)  проверяет соответствие представленной заявки требованиям, установленным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6 настоящего Положения;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6)  уведомляет органы местного самоуправления о принятии решения, предусмотренного подпунктом 2 </w:t>
      </w:r>
      <w:hyperlink w:anchor="P59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8 настоящего Положения, в течение пяти рабочих дней со дня его принятия;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7) формирует конкурсную комиссию и осуществляет организационно-техническое обеспечение деятельности конкурсной комиссии;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8) направляет органам местного самоуправления извещения об итогах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9)  подготавливает проект постановления Правительства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 распределении средств областного бюджета на предоставление субсидий победителям конкурса (далее − постановление Правительства Архангельской области);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10)  заключает соглашения с победителями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11)  обеспечивает хранение протоколов заседаний и других материалов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6. Для участия в конкурсе органы местного самоуправления в срок, </w:t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указанный в извещении о проведении конкурса, представляют в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заявку, включающую: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заявление об участии в конкурсе в свободной форме;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2)  молодежный паспорт по форме, утвержденной постановлением министерства;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2F7E31">
        <w:rPr>
          <w:rFonts w:ascii="Times New Roman" w:hAnsi="Times New Roman" w:cs="Times New Roman"/>
          <w:color w:val="000000"/>
          <w:sz w:val="28"/>
          <w:szCs w:val="28"/>
        </w:rPr>
        <w:t>3)  копию муниципальной программы;</w:t>
      </w:r>
    </w:p>
    <w:p w:rsidR="00340CC3" w:rsidRPr="002F7E31" w:rsidRDefault="00340CC3" w:rsidP="0034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P55"/>
      <w:bookmarkEnd w:id="3"/>
      <w:r w:rsidRPr="002F7E31">
        <w:rPr>
          <w:rFonts w:ascii="Times New Roman" w:hAnsi="Times New Roman"/>
          <w:color w:val="000000"/>
          <w:sz w:val="28"/>
          <w:szCs w:val="28"/>
        </w:rPr>
        <w:t xml:space="preserve">4) выписку из решения представительного органа муниципального образования о местном бюджете на текущий финансовый год или выписку из сводной бюджетной росписи местного бюджета, подтверждающих 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</w:t>
      </w: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бюджета, определяемого постановлением Правительства Архангельской области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период, или гарантийное письмо о предоставлении такой выписки из решения представительного органа муниципального образования о местном бюджете на текущий финансовый год или выписки из сводной бюджетной росписи местного бюджета.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предусмотренного </w:t>
      </w:r>
      <w:hyperlink w:anchor="P54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>подпунктом 3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должна быть заверена в установленном законодательством Российской Федерации порядке.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  <w:lang w:eastAsia="en-US"/>
        </w:rPr>
        <w:t>Органы местного самоуправления несут ответственность за достоверность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содержащейся в заявке.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  <w:lang w:eastAsia="en-US"/>
        </w:rPr>
        <w:t>7. Органы местного самоуправления вправе по собственной инициативе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документы, подтверждающие соответствие представленных сведений </w:t>
      </w:r>
      <w:hyperlink w:anchor="P12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>критериям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мероприятий молодежной политики и патриотического воспитания органами местного самоуправления муниципальных районов, муниципальных и городских округов Архангельской области, указанным в приложении к настоящему Положению.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9"/>
      <w:bookmarkEnd w:id="4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8.  Министерство рассматривает поступившие заявки в течение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30 календарных дней со дня окончания срока их приема и принимает одно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из следующих решений: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60"/>
      <w:bookmarkEnd w:id="5"/>
      <w:r w:rsidRPr="002F7E31">
        <w:rPr>
          <w:rFonts w:ascii="Times New Roman" w:hAnsi="Times New Roman" w:cs="Times New Roman"/>
          <w:color w:val="000000"/>
          <w:sz w:val="28"/>
          <w:szCs w:val="28"/>
        </w:rPr>
        <w:t>1)  о допуске заявки к участию в конкурсе;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61"/>
      <w:bookmarkEnd w:id="6"/>
      <w:r w:rsidRPr="002F7E31">
        <w:rPr>
          <w:rFonts w:ascii="Times New Roman" w:hAnsi="Times New Roman" w:cs="Times New Roman"/>
          <w:color w:val="000000"/>
          <w:sz w:val="28"/>
          <w:szCs w:val="28"/>
        </w:rPr>
        <w:t>2)  об отказе в допуске заявки к участию в конкурсе.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63"/>
      <w:bookmarkEnd w:id="7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9.  Министерство принимает решение, предусмотренное </w:t>
      </w:r>
      <w:hyperlink w:anchor="P6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2 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8 настоящего Положения, в следующих случаях: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  представление заявки с нарушением сроков, указанных в извещении о проведении конкурса;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>2)  представление заявки, не соответствующей требованиям, предусмотренным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6 настоящего Положения;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представление документов, указанных в пункте 6</w:t>
      </w:r>
      <w:hyperlink w:anchor="P51" w:history="1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не в полном объеме;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4) представление органами местного самоуправления недостоверных сведений.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об отказе в допуске к участию в конкурсе по основанию, предусмотренному </w:t>
      </w:r>
      <w:hyperlink w:anchor="P68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4 настоящего пункта, министерство возвращает заявку на доработку в орган местного самоуправления в течение двух рабочих дней со дня принятия указанного решения. Орган местного самоуправления в течение 10 рабочих дней направляет в министерство доработанную заявку.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  При отсутствии оснований, предусмотренных </w:t>
      </w:r>
      <w:hyperlink w:anchor="P63" w:history="1">
        <w:r w:rsidRPr="002F7E31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 xml:space="preserve">пунктом </w:t>
        </w:r>
      </w:hyperlink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9 настоящего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Положения, министерство принимает решение, предусмотренное </w:t>
      </w:r>
      <w:hyperlink w:anchor="P60" w:history="1">
        <w:r w:rsidRPr="002F7E31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 xml:space="preserve">подпунктом 1 </w:t>
        </w:r>
        <w:r w:rsidRPr="002F7E31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lastRenderedPageBreak/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8 настоящего Положения, и направляет заявку для рассмотрения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на заседании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11. В целях рассмотрения и оценки заявок министерство формирует конкурсную комиссию в составе не менее семи человек из государственных гражданских служащих министерства, работников подведомственных министерству государственных учреждений Архангельской области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привлечением по согласованию представителей иных исполнительных органов государственной власти Архангельской области, депутатов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Архангельского областного Собрания депутатов, представителей общественных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объединений, научной и педагогической общественности. Состав конкурсной комиссии утверждается распоряжением министерства.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конкурсной комиссии является министр по делам молодежи и спорту Архангельской области, заместителем председателя – заместитель министра − начальник управления по делам молодежи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патриотическому воспитанию министерства, секретарем − государственный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гражданский служащий министерства.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который </w:t>
      </w: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влияет или может повлиять на осуществление полномочий конкурсной комиссией.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косвенная) члена конкурсной комиссии влияет или может повлиять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надлежащее, объективное и беспристрастное осуществление им полномочий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незамедлительно проинформировать об этом в письменной форме председателя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12.  Председатель конкурсной комиссии, которому стало известно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исключения члена конкурсной комиссии, являющегося стороной конфликта интересов, из состава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конкурсной комиссии руководит деятельностью конкурсной комиссии, в том числе ведет заседания, обеспечивает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контролирует выполнение решений конкурсной комиссии, подписывает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конкурсной комиссии готовит материалы на заседание конкурсной комиссии, оповещает членов конкурсной комиссии о времени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месте проведения заседания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13. В течение 30 календарных дней со дня окончания срока приема заявок министерство проводит заседание конкурсной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конкурсной комиссии является правомочным, если на нем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присутствует не менее половины от установленного числа членов конкурсной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14. Конкурсная комиссия рассматривает и оценивает заявки. Оценка молодежных паспортов осуществляется в соответствии с указанными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приложении к настоящему Положению критериями оценки эффективности реализации органами местного самоуправления муниципальных образований мероприятий по основным направлениям реализации молодежной политики (далее − критерии конкурса). По итогам 2020 года не производится оценка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критериям номер 3, 4, 16, 17 и 21, критерий 15 оценивается частично –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второму и четвертому подкритериям, критерий 18 оценивается частично </w:t>
      </w: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–  по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первому и второму подкритериям.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муниципального образования определяется итоговая сумма баллов в соответствии с критериями конкурса, после чего формируется рейтинг муниципальных образований с распределением мест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от наибольшего значения итоговой суммы баллов к наименьшему (далее − рейтинг). В случае равенства итоговой суммы баллов преимущество имеет муниципальное образование, дата поступления в министерство заявки которого имеет более ранний срок.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Победителями конкурса в номинации «Городской округ» признаются органы местного самоуправления городских округов Архангельской области, занявшие соответственно первые три места рейтинга среди городских округов. Распределение объема субсидий из областного бюджета осуществляется соответственно в размере 25, 15 и 10 процентов от общего объема средств областного бюджета, предусмотренных на предоставление субсидии.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конкурса в номинации «Муниципальный район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муниципальный округ» признаются органы местного самоуправления муниципальных районов и муниципальных округов Архангельской области, занявшие соответственно первые три места рейтинга среди муниципальных районов и муниципальных округов Архангельской области. Распределение объема субсидий из областного бюджета осуществляется соответственно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размере 25, 15 и 10 процентов от общего объема средств областного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предусмотренных на предоставление субсидии.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15. 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IV. Порядок предоставления субсидий победителям конкурса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16.  Министерство финансов Архангельской области доводит расходными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расписаниями до министерства предельные объемы финансирования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со сводной бюджетной росписью областного бюджета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пределах доведенных лимитов бюджетных обязательств и показателей кассового плана областного бюджета.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17.  На основании протокола заседания конкурсной комиссии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осуществляет подготовку проекта постановления Правительства Архангельской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340CC3" w:rsidRPr="002F7E31" w:rsidRDefault="00340CC3" w:rsidP="00340CC3">
      <w:pPr>
        <w:tabs>
          <w:tab w:val="left" w:pos="1276"/>
        </w:tabs>
        <w:spacing w:after="0" w:line="240" w:lineRule="auto"/>
        <w:rPr>
          <w:rFonts w:ascii="Times New Roma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18.  В случае представления органами местного самоуправления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гарантийного письма о предоставлении выписки из решения представительного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органа муниципального образования о местном бюджете или выписки из сводной бюджетной росписи местного бюджета,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подтверждающих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субсидия, в объеме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, указанном в подпункте 2 пункта 4 настоящего Положения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орган местного самоуправления в срок не позднее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  <w:t>45 календарных дней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со дня вступления в силу постановления представляет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  <w:t xml:space="preserve">в министерство такую выписку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из решения представительного органа муниципального образования о местном бюджете или выписку из сводной бюджетной росписи местного бюджета. 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19.  В течение 60 календарных дней со дня вступления в силу постановления министерство заключает с администрациями муниципальных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образований, признанных победителями конкурса, соглашения в соответствии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типовой формой соглашения, утверждаемой постановлением министерства финансов Архангельской области, содержащие условия, предусмотренные </w:t>
      </w:r>
      <w:hyperlink r:id="rId10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>подпунктом 2 пункта 7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и городских округов, городских и сельских поселений Архангельской области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, утвержденных постановлением Правительства Архангельской области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от 26 декабря 2017 года № 637-пп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20.  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субсидий, предоставляемых из областного бюджета в местный бюджет. Указанные полномочия осуществляются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Федеральным казначейством.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 xml:space="preserve">21.  Перечисление субсидий в местные бюджеты осуществляется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единые счета местных бюджетов, открытые финансовым органам муниципальных образований в Управлении Федерального казначейства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оплаты расходного обязательства муниципального образования, установленному соглашением.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V. Порядок осуществления контроля за использованием субсидий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22. Органы местного самоуправления представляют в министерство отчетность в порядке и сроки, которые предусмотрены соглашениями.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Результатом использования субсидии является проведение муниципальных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работе с молодежью.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результата использования субсидии является количество молодых граждан, участвующих в мероприятиях, на </w:t>
      </w:r>
      <w:proofErr w:type="spell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Оценка достижения значения показателя результата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23.  Контроль за целевым использованием средств субсидий осуществляется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и органами государственного финансового контроля </w:t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 в порядке, установленном бюджетным законодательством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24.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субсидии, которые использовались не по целевому назначению.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случае нецелевого использования средств субсидии органом местного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законодательством.</w:t>
      </w:r>
    </w:p>
    <w:p w:rsidR="00340CC3" w:rsidRPr="002F7E31" w:rsidRDefault="00340CC3" w:rsidP="00340C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25.  Финансовая ответственность муниципального образования за </w:t>
      </w:r>
      <w:proofErr w:type="spell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показателей результата использования субсидии определяется в соответствии с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Правилами, устанавливающими общие требования к формированию, предоставлению и распределению субсидий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 Правительства Архангельской области от 26 декабря 2017 года № 637-пп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CC3" w:rsidRPr="002F7E31" w:rsidRDefault="00340CC3" w:rsidP="00340CC3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2472B9" w:rsidRDefault="002472B9" w:rsidP="00340CC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</w:rPr>
        <w:sectPr w:rsidR="00247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CC3" w:rsidRPr="002F7E31" w:rsidRDefault="00340CC3" w:rsidP="00340CC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</w:rPr>
      </w:pPr>
      <w:bookmarkStart w:id="8" w:name="_GoBack"/>
      <w:bookmarkEnd w:id="8"/>
    </w:p>
    <w:p w:rsidR="00340CC3" w:rsidRPr="002F7E31" w:rsidRDefault="00340CC3" w:rsidP="00340CC3">
      <w:pPr>
        <w:pStyle w:val="ConsPlusNormal"/>
        <w:ind w:left="3119"/>
        <w:jc w:val="center"/>
        <w:outlineLvl w:val="1"/>
        <w:rPr>
          <w:rFonts w:ascii="Times New Roman" w:hAnsi="Times New Roman" w:cs="Times New Roman"/>
          <w:color w:val="000000"/>
          <w:sz w:val="28"/>
        </w:rPr>
      </w:pPr>
      <w:r w:rsidRPr="002F7E31">
        <w:rPr>
          <w:rFonts w:ascii="Times New Roman" w:hAnsi="Times New Roman" w:cs="Times New Roman"/>
          <w:color w:val="000000"/>
          <w:sz w:val="28"/>
        </w:rPr>
        <w:t>ПРИЛОЖЕНИЕ</w:t>
      </w:r>
    </w:p>
    <w:p w:rsidR="00340CC3" w:rsidRPr="002F7E31" w:rsidRDefault="00340CC3" w:rsidP="00340CC3">
      <w:pPr>
        <w:pStyle w:val="ConsPlusNormal"/>
        <w:ind w:left="31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</w:rPr>
        <w:t xml:space="preserve">к </w:t>
      </w: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Положению о порядке проведения конкурса среди муниципальных районов, муниципальных округов и городских округов Архангельской области на предоставление субсидий на поддержку проведения муниципальных мероприятий </w:t>
      </w:r>
      <w:r w:rsidRPr="002F7E31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работе с молодежью по итогам оценки эффективности реализации органами местного самоуправления муниципальных районов, муниципальных округов и городских округов Архангельской области мероприятий по основным направлениям реализации молодежной политики</w:t>
      </w:r>
    </w:p>
    <w:p w:rsidR="00340CC3" w:rsidRPr="002F7E31" w:rsidRDefault="00340CC3" w:rsidP="00340CC3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bookmarkStart w:id="9" w:name="P121"/>
      <w:bookmarkEnd w:id="9"/>
    </w:p>
    <w:p w:rsidR="00340CC3" w:rsidRPr="002F7E31" w:rsidRDefault="00340CC3" w:rsidP="00340CC3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340CC3" w:rsidRPr="002F7E31" w:rsidRDefault="00340CC3" w:rsidP="00340CC3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r w:rsidRPr="002F7E31">
        <w:rPr>
          <w:rFonts w:ascii="Times New Roman Полужирный" w:hAnsi="Times New Roman Полужирный" w:cs="Times New Roman"/>
          <w:color w:val="000000"/>
          <w:spacing w:val="60"/>
          <w:sz w:val="28"/>
        </w:rPr>
        <w:t>КРИТЕРИИ</w:t>
      </w: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эффективности реализации органами местного </w:t>
      </w: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муниципальных районов, муниципальных </w:t>
      </w: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округов и городских округов Архангельской области мероприятий </w:t>
      </w: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основным направлениям реализации молодежной политики</w:t>
      </w: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CC3" w:rsidRPr="002F7E31" w:rsidRDefault="00340CC3" w:rsidP="00340CC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011"/>
        <w:gridCol w:w="2977"/>
        <w:gridCol w:w="1276"/>
        <w:gridCol w:w="1843"/>
      </w:tblGrid>
      <w:tr w:rsidR="00340CC3" w:rsidRPr="002F7E31" w:rsidTr="00E6118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Подкритерий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ind w:left="-5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Оценка</w:t>
            </w:r>
          </w:p>
        </w:tc>
      </w:tr>
    </w:tbl>
    <w:p w:rsidR="00340CC3" w:rsidRPr="002F7E31" w:rsidRDefault="00340CC3" w:rsidP="00340CC3">
      <w:pPr>
        <w:spacing w:after="0"/>
        <w:rPr>
          <w:color w:val="000000"/>
          <w:sz w:val="2"/>
          <w:szCs w:val="2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2977"/>
        <w:gridCol w:w="1276"/>
        <w:gridCol w:w="1843"/>
        <w:gridCol w:w="305"/>
      </w:tblGrid>
      <w:tr w:rsidR="00340CC3" w:rsidRPr="002F7E31" w:rsidTr="00E61180">
        <w:trPr>
          <w:gridAfter w:val="1"/>
          <w:wAfter w:w="305" w:type="dxa"/>
          <w:tblHeader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340CC3" w:rsidRPr="002F7E31" w:rsidTr="00E61180">
        <w:trPr>
          <w:gridAfter w:val="1"/>
          <w:wAfter w:w="305" w:type="dxa"/>
          <w:trHeight w:val="3609"/>
        </w:trPr>
        <w:tc>
          <w:tcPr>
            <w:tcW w:w="48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Проведение мероприятий, входящих в систему ключевых показателей Федерального агентства </w:t>
            </w:r>
          </w:p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по делам молодежи </w:t>
            </w:r>
          </w:p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участников федеральных, региональных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и муниципальных этапов мероприятий (Всероссийский конкурс «Молодой предприниматель России», Всероссийский конкурс «Премия Траектория», Всероссийский конкурс лидеров и руководителей детских и молодежных общественных объединений «Лидер XXI века», Всероссийская игра «Зарница», Всероссийская военно-спортивная игра «Орленок</w:t>
            </w:r>
            <w:proofErr w:type="gramStart"/>
            <w:r w:rsidRPr="002F7E31">
              <w:rPr>
                <w:rFonts w:ascii="Times New Roman" w:hAnsi="Times New Roman" w:cs="Times New Roman"/>
                <w:color w:val="000000"/>
              </w:rPr>
              <w:t>»,  Всероссийская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</w:rPr>
              <w:t xml:space="preserve"> акция «Мы – граждане России»,  Всероссийский сбор руководителей клубов исторической реконструкции, Всероссийский конкурс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на лучшую организацию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работы среди военно-патриотических клубов, объединений, общественных </w:t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организаций военно-патриотической направленности «Делай,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как я!», Всероссийский конкурс «Послы Победы», Всероссийская акция «Вахта Памяти», Всероссийский проект «Диалоги с Героями», Всероссийский проект «Диалог на равных», Всероссийский конкурс волонтерских инициатив «Доброволец России», областная добровольческая акция «Неделя добра», фестиваль творческих сообществ «Таврида – АРТ», национальная молодежная кинопремия, национальная премия для молодых авторов, пишущих на русском языке, Всероссийский конкурс авторов и молодых исполнителей, Всероссийский конкурс «Ты –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инноватор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»)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от общего количества молодежи муниципального района, муниципального </w:t>
            </w:r>
          </w:p>
          <w:p w:rsidR="00340CC3" w:rsidRPr="002F7E31" w:rsidRDefault="00340CC3" w:rsidP="00E61180">
            <w:pPr>
              <w:pStyle w:val="ConsPlusNormal"/>
              <w:rPr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и городского округа Архангельской области (далее − муниципальное образование)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1,0 до 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5,0 до 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10,0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Проведение Всероссийских гражданско-патриотических акций в рамках Дней единых действий: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День России,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День народного единства,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День Неизвестного солдата,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День Героев Отечества, День добровольца (волонтера),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День российских студенческих отрядов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По одному баллу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за каждый официально проведенный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на уровне муниципального образования </w:t>
            </w:r>
            <w:proofErr w:type="spellStart"/>
            <w:proofErr w:type="gramStart"/>
            <w:r w:rsidRPr="002F7E31">
              <w:rPr>
                <w:rFonts w:ascii="Times New Roman" w:hAnsi="Times New Roman" w:cs="Times New Roman"/>
                <w:color w:val="000000"/>
              </w:rPr>
              <w:t>профессио-нальный</w:t>
            </w:r>
            <w:proofErr w:type="spellEnd"/>
            <w:proofErr w:type="gramEnd"/>
            <w:r w:rsidRPr="002F7E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proofErr w:type="spellStart"/>
            <w:proofErr w:type="gramStart"/>
            <w:r w:rsidRPr="002F7E31">
              <w:rPr>
                <w:rFonts w:ascii="Times New Roman" w:hAnsi="Times New Roman" w:cs="Times New Roman"/>
                <w:color w:val="000000"/>
              </w:rPr>
              <w:t>государ-ственный</w:t>
            </w:r>
            <w:proofErr w:type="spellEnd"/>
            <w:proofErr w:type="gramEnd"/>
            <w:r w:rsidRPr="002F7E31">
              <w:rPr>
                <w:rFonts w:ascii="Times New Roman" w:hAnsi="Times New Roman" w:cs="Times New Roman"/>
                <w:color w:val="000000"/>
              </w:rPr>
              <w:t xml:space="preserve"> праздник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из списка подкритерия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13155"/>
        </w:trPr>
        <w:tc>
          <w:tcPr>
            <w:tcW w:w="488" w:type="dxa"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Доля участников Всероссийской 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форумной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 xml:space="preserve"> кампании (всероссийские молодежные образовательные форумы «Территория смыслов» и «Территория инициативной молодежи «Бирюса», форум молодых деятелей культуры и искусств «Таврида», Всероссийский молодежный</w:t>
            </w:r>
          </w:p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образовательный Дальневосточный форум «Восток», Международный молодежный форум «Евразия 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Global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>», Всероссийский форум молодых семей,  Образовательный форум «Машук», Всероссийский молодежный гражданский образовательный форум «Выше крыши», Всероссийский форум органов молодежного самоуправления «Молодежная команда страны», Молодежный форум  Приволжского федерального округа «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iВолга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>», Молодежный форум  Уральского федерального округа «Утро», Молодежный форум Северо-Западного федерального округа «Ладога», Молодежный форум Сибирского федерального округа «Байкал», Молодежные форумы Южного федерального округа «Ростов» и «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СелиАс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>», Международный молодежный образовательный форум «Арктика. Сделано в России», Всероссийский форум работающей молодежи, Всероссийский инклюзивный форум «Крылья возможностей») от общего количества молодежи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0,01;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0,02 до 0,03;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0,04 до 0,05;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0,06 до 0,07;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0,08 до 0,09;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 до 0,11;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0,12 до 0,14;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0,15 до 0,17;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0,18 до 0,19;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0,2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Доля участников региональной 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форумной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 xml:space="preserve"> кампании (Архангельский международный форум </w:t>
            </w:r>
            <w:r w:rsidRPr="002F7E31">
              <w:rPr>
                <w:rFonts w:ascii="Times New Roman" w:hAnsi="Times New Roman"/>
                <w:color w:val="000000"/>
              </w:rPr>
              <w:lastRenderedPageBreak/>
              <w:t xml:space="preserve">молодежи «Команда 29», форум молодых политиков Архангельской области, форум работающей молодежи Архангельской области, итоговый конгресс </w:t>
            </w:r>
          </w:p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«Ты – предприниматель», форум добровольцев Архангельской области, форум клубов молодой семьи Архангельской области, Молодежный патриотический форум «Я – ЮНАРМИЯ» Архангельской области) </w:t>
            </w:r>
            <w:r w:rsidRPr="002F7E31">
              <w:rPr>
                <w:rFonts w:ascii="Times New Roman" w:hAnsi="Times New Roman"/>
                <w:color w:val="000000"/>
              </w:rPr>
              <w:br/>
              <w:t>от общего количества молодежи муниципального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0,04;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2 балла – 0,05;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3 балла – 0,06;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4 балла – 0,07;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5 баллов – 0,08;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6 баллов – 0,09;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 до 0,19;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0,2 до 0,29;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0,3 до 0,39;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0,4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Проведение муниципального молодежного образовательного форума, сбора, слета (длительность проведения – не менее двух дней, обязательно наличие образовательной программы)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Количество проведенных муниципальных молодежных образовательных форумов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не проводились;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форум;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2 и более форума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Количество участников муниципальных молодежных образовательных форумов, сборов, слетов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29;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 до 49;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 до 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100 до 149;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150 до 199;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объема средств субсидий и грантов в форме субсидий, полученных физическими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юридическими лицами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рамках конкурсов грантов Президента Российской Федерации на развитие гражданского общества, Федерального агентства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по делам молодежи, министерства по делам молодежи и спорту Архангельской области,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за исключением грантов, полученных региональными отделениями всероссийских общественных организаций,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к объему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консолиди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F7E31">
              <w:rPr>
                <w:rFonts w:ascii="Times New Roman" w:hAnsi="Times New Roman" w:cs="Times New Roman"/>
                <w:color w:val="000000"/>
              </w:rPr>
              <w:t>рованного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 бюджета муниципального района </w:t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(бюджета муниципального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или городского округа Архангельской области)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в сфере молодежной политики и патриотического воспитания</w:t>
            </w:r>
          </w:p>
          <w:p w:rsidR="00340CC3" w:rsidRPr="00F85246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2,99;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 до 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 до 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29,99;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 до 49,99;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 до 69,99;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70 до 99,99;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100 до 199,99;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средств местного бюджета, предусматриваемых на предоставление субсидий и грантов в форме субсидий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в сфере государственной молодежной политики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 патриотического воспитания социально ориентированным некоммерческим организациям, государственным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и муниципальным учреждениям, физическим лицам, от объема бюджета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до 0,001;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0,001 до 0,004;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0,005 до 0,009;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0,014;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0,015 до 0,019;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0,02 до 0,024;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0,025 до 0,029;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0,03 до 0,034;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0,035 до 0,039;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0,04 до 0,044;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от 0,045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Наличие институтов государственной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Дублер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Совет по делам молодежи районного и сельского уровня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Совет молодых депутатов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при представительном органе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Молодежная избирательная комиссия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Молодежные трудовые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и студенческие отряды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Клуб молодой семьи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Инфраструктура, необходимая для реализации </w:t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учреждение по работе с молодежью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Ресурсный центр для молодежи, работающий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в формате «Открытое пространство»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Зональный центр патриотического воспитания и подготовки граждан (молодежи) к военной службе, с которым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у муниципального образования заключено соглашение о взаимодействии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Попечительский совет местного отделения Всероссийского общественного движения «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Юнармия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>», утвержденный на уровне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отсутствует;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</w:t>
            </w:r>
          </w:p>
        </w:tc>
      </w:tr>
      <w:tr w:rsidR="002409B0" w:rsidRPr="002F7E31" w:rsidTr="002409B0">
        <w:trPr>
          <w:gridAfter w:val="1"/>
          <w:wAfter w:w="305" w:type="dxa"/>
          <w:trHeight w:val="5628"/>
        </w:trPr>
        <w:tc>
          <w:tcPr>
            <w:tcW w:w="48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409B0" w:rsidRPr="002F7E31" w:rsidRDefault="002409B0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Объем средств консолидированного бюджета муниципального района Архангельской области (бюджета муниципального округа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или городского округа Архангельской области)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на программы по реализации молодежной политики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патриотическому воспитанию (за исключением 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программ по обеспечению жильем молодых семей)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в расчете на одного молодого человека, проживающего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409B0" w:rsidRPr="002F7E31" w:rsidRDefault="002409B0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9,99;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49,99;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 до 99,99;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100 до 149,99;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2409B0" w:rsidRPr="002F7E31" w:rsidRDefault="002409B0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150 до 199,99;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5 баллов – от 200 до 299,99;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300 до 399,99;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400 до 499,99;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500 до 999,99;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2409B0" w:rsidRPr="002F7E31" w:rsidRDefault="002409B0" w:rsidP="002409B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2F7E31">
              <w:rPr>
                <w:rFonts w:ascii="Times New Roman" w:hAnsi="Times New Roman" w:cs="Times New Roman"/>
                <w:color w:val="000000"/>
                <w:spacing w:val="-2"/>
              </w:rPr>
              <w:t>1000 до 1499,99</w:t>
            </w:r>
            <w:r w:rsidRPr="002F7E3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2409B0" w:rsidRPr="002F7E31" w:rsidRDefault="002409B0" w:rsidP="002409B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1500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молодых семей, получивших социальные выплаты на приобретение (строительство) жилья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в рамках реализации подпрограммы № 2 «Обеспечение жильем молодых семей» государственной программы Архангельской области «Обеспечение качественным, доступным жильем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 объектами инженерной </w:t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инфраструктуры населения Архангельской области», утвержденной постановлением Правительства Архангельской области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от 11 октября 2013 года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№ 475-пп (по состоянию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на 31 декабря отчетного года), к количеству молодых семей – участников указанной программы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(по состоянию на 1 января отчетного года)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2,99;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 до 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 до 6,99;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7 до 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19,99;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от 20 до 29,99;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 до 39,99;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40 до 49,99;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 до 59,99;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Работа с информационными системами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молодежи, зарегистрировавшейся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автоматизированной информационной системе «Молодежь России» для участия в мероприятиях муниципального уровня,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общего количества молодежи муниципального образования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добровольцев, специалистов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 организаторов добровольческой деятельности, прошедших обучение в единой информационной системе «Добровольцы России»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на платформе «Добро. Университет»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10;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0,5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11 до 24;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25 до 39;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1,5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Эффективность официальных сообществ в информационно-телекоммуникационной сети «Интернет» органа местного самоуправления, реализующего на территории муниципального образования государственную молодежную политику,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либо муниципального учреждения по работе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с молодежью, либо ресурсного центра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для молодежи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молодежи, состоящей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официальных сообществах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в информационно-телекоммуникационной сети «Интернет», от общего количества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39,99;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40 до 69,99;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70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Активность пользователей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за год рассчитывается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по формуле:</w:t>
            </w:r>
          </w:p>
          <w:p w:rsidR="00340CC3" w:rsidRPr="00F85246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(лайки +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репосты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gramStart"/>
            <w:r w:rsidRPr="002F7E31">
              <w:rPr>
                <w:rFonts w:ascii="Times New Roman" w:hAnsi="Times New Roman" w:cs="Times New Roman"/>
                <w:color w:val="000000"/>
              </w:rPr>
              <w:t>комментарии)/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постов/количество посетителей сообщества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х 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3,49;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3,5 до 5,99;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Поддержка и развитие молодежных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молодежных средств массовой информации, освещающих деятельность органов местного </w:t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самоуправления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сфере реализации государственной молодежной политики, с которыми специалисты сферы молодежной политики </w:t>
            </w:r>
            <w:r w:rsidRPr="002F7E31">
              <w:rPr>
                <w:rFonts w:ascii="Times New Roman" w:hAnsi="Times New Roman" w:cs="Times New Roman"/>
                <w:color w:val="000000"/>
                <w:spacing w:val="-2"/>
              </w:rPr>
              <w:t>осуществляют взаимодействие</w:t>
            </w:r>
          </w:p>
          <w:p w:rsidR="00340CC3" w:rsidRPr="002F7E31" w:rsidRDefault="00340CC3" w:rsidP="00E6118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Количество молодежных 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блогеров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 xml:space="preserve"> (с количеством подписчиков не менее </w:t>
            </w:r>
            <w:r w:rsidRPr="002F7E31">
              <w:rPr>
                <w:rFonts w:ascii="Times New Roman" w:hAnsi="Times New Roman"/>
                <w:color w:val="000000"/>
              </w:rPr>
              <w:br/>
              <w:t>2000 человек)</w:t>
            </w:r>
          </w:p>
          <w:p w:rsidR="00340CC3" w:rsidRPr="002F7E31" w:rsidRDefault="00340CC3" w:rsidP="00E6118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Средняя доля избирателей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возрасте от 18 до 30 лет, принявших участие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основных выборах регионального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федерального уровней,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от общего количества молодежи муниципального образования в возрасте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от 18 до 30 лет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19,99;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 до 24,99;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25 до 29,99;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 до 34,99;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35 до 39,99;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5 баллов –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40 до 44,99;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6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45 до 49,99;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7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50 до 54,99;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8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55 до 59,99;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9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60 до 64,99;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65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Содействие профессиональной ориентации и занятости молодежи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молодых людей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в возрасте от 14 до 30 лет, открывших свое дело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отчетном году после обучения по программам Архангельской области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(в том числе по программе «Ты – предприниматель»)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2;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 до 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участников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 смены «Регион развития 29»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не принимали участие;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работодателей, задействованных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профориентационных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2;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 до 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от 6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поступивших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по целевому приему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профессиональные образовательные организации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и образовательные организации высшего образования 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Поддержка молодежи, проявившей одаренность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лауреатов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призеров региональных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федеральных творческих конкурсов в возрасте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от 14 до 30 лет от общего количества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0,01 до 0,99;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0,1 до 0,19;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0,2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представителей муниципального образования, вошедших в состав делегации Архангельской области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на Дельфийские игры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не принимали участие;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Поддержка движения КВН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работа не ведется;</w:t>
            </w:r>
          </w:p>
          <w:p w:rsidR="00340CC3" w:rsidRPr="002F7E31" w:rsidRDefault="00340CC3" w:rsidP="00E6118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  <w:spacing w:val="-6"/>
              </w:rPr>
              <w:t>1 балл – проводятся</w:t>
            </w:r>
            <w:r w:rsidRPr="002F7E31">
              <w:rPr>
                <w:rFonts w:ascii="Times New Roman" w:hAnsi="Times New Roman" w:cs="Times New Roman"/>
                <w:color w:val="000000"/>
              </w:rPr>
              <w:t xml:space="preserve"> отдельные игры КВН;</w:t>
            </w:r>
          </w:p>
          <w:p w:rsidR="00340CC3" w:rsidRPr="002F7E31" w:rsidRDefault="00340CC3" w:rsidP="00E6118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2F7E31">
              <w:rPr>
                <w:rFonts w:ascii="Times New Roman" w:hAnsi="Times New Roman" w:cs="Times New Roman"/>
                <w:color w:val="000000"/>
                <w:spacing w:val="-8"/>
              </w:rPr>
              <w:t>балла – участвуют</w:t>
            </w:r>
            <w:r w:rsidRPr="002F7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в Архангельской лиге КВН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Кадровое обеспечение государственной молодежной политики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Наличие участников регионального этапа Всероссийского конкурса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на лучшего работника сферы государственной молодежной политики в Архангельской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отсутствуют участники регионального этапа;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0,5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победителей регионального этапа Всероссийского конкурса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на лучшего работника сферы государственной молодежной политики 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нет победителей регионального этапа;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за каждого победителя регионального этапа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Количество специалистов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по работе с молодежью, принявших участие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образовательных мероприятиях, проводимых министерством по делам молодежи и спорту Архангельской области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</w: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 xml:space="preserve">и подведомственными государственными учреждениями Архангельской области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(в случае, если один специалист участвовал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двух и более образовательных мероприятиях, количество человек учитывается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по количеству образовательных мероприятий, в которых принял участие данный специалист)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баллов – 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0,5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 до 2;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3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4048"/>
        </w:trPr>
        <w:tc>
          <w:tcPr>
            <w:tcW w:w="488" w:type="dxa"/>
            <w:vMerge w:val="restart"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976" w:type="dxa"/>
            <w:vMerge w:val="restart"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Работа с молодежью, находящейся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Доля молодежи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возрасте 14 – 18 лет, состоящей на различных видах учетов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внутришкольный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 xml:space="preserve">, комиссии по делам </w:t>
            </w:r>
            <w:proofErr w:type="gramStart"/>
            <w:r w:rsidRPr="002F7E31">
              <w:rPr>
                <w:rFonts w:ascii="Times New Roman" w:hAnsi="Times New Roman" w:cs="Times New Roman"/>
                <w:color w:val="000000"/>
              </w:rPr>
              <w:t>несовершенно-летних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</w:rPr>
              <w:t xml:space="preserve"> и защите их прав, подразделения по делам несовершеннолетних органов внутренних дел), трудоустроенной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в каникулярный период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от общего количества молодежи в возрасте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14 – 18 лет, трудоустроенной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в каникулярный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0 до 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2 до 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 до 19;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20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Количество человек, находящихся в социально-опасном положении, принявших участие в проекте «Наставник»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нет;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1 до 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6 до 10;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11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26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Доля молодежи </w:t>
            </w:r>
            <w:r w:rsidRPr="002F7E31">
              <w:rPr>
                <w:rFonts w:ascii="Times New Roman" w:hAnsi="Times New Roman"/>
                <w:color w:val="000000"/>
              </w:rPr>
              <w:br/>
              <w:t>в возрасте 14 – 18 лет, состоящей на различных видах учетов (</w:t>
            </w:r>
            <w:proofErr w:type="spellStart"/>
            <w:r w:rsidRPr="002F7E31">
              <w:rPr>
                <w:rFonts w:ascii="Times New Roman" w:hAnsi="Times New Roman"/>
                <w:color w:val="000000"/>
              </w:rPr>
              <w:t>внутришкольный</w:t>
            </w:r>
            <w:proofErr w:type="spellEnd"/>
            <w:r w:rsidRPr="002F7E3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40CC3" w:rsidRPr="002F7E31" w:rsidRDefault="00340CC3" w:rsidP="00E61180">
            <w:pPr>
              <w:spacing w:after="0" w:line="240" w:lineRule="auto"/>
              <w:ind w:firstLine="26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 xml:space="preserve">комиссии по делам несовершеннолетних </w:t>
            </w:r>
            <w:r w:rsidRPr="002F7E31">
              <w:rPr>
                <w:rFonts w:ascii="Times New Roman" w:hAnsi="Times New Roman"/>
                <w:color w:val="000000"/>
              </w:rPr>
              <w:br/>
              <w:t xml:space="preserve">и защите их прав, подразделения по делам несовершеннолетних органов внутренних дел), принявшей участие в профильных сменах </w:t>
            </w:r>
            <w:r w:rsidRPr="002F7E31">
              <w:rPr>
                <w:rFonts w:ascii="Times New Roman" w:hAnsi="Times New Roman"/>
                <w:color w:val="000000"/>
              </w:rPr>
              <w:br/>
              <w:t xml:space="preserve">в детских оздоровительных лагерях от количества молодежи в возрасте </w:t>
            </w:r>
            <w:r w:rsidRPr="002F7E31">
              <w:rPr>
                <w:rFonts w:ascii="Times New Roman" w:hAnsi="Times New Roman"/>
                <w:color w:val="000000"/>
              </w:rPr>
              <w:br/>
              <w:t xml:space="preserve">14 – 18 лет, состоящей </w:t>
            </w:r>
            <w:r w:rsidRPr="002F7E31">
              <w:rPr>
                <w:rFonts w:ascii="Times New Roman" w:hAnsi="Times New Roman"/>
                <w:color w:val="000000"/>
              </w:rPr>
              <w:br/>
              <w:t xml:space="preserve">на различных видах учетов </w:t>
            </w:r>
          </w:p>
          <w:p w:rsidR="00340CC3" w:rsidRPr="002F7E31" w:rsidRDefault="00340CC3" w:rsidP="00E61180">
            <w:pPr>
              <w:spacing w:after="0" w:line="240" w:lineRule="auto"/>
              <w:ind w:firstLine="26"/>
              <w:jc w:val="left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>по состоянию на 1 апреля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7E31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1;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2 до 15;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16 до 29;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30 и более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Доля участников движения «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</w:rPr>
              <w:t>Юнармия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</w:rPr>
              <w:t>» от общего количества молодежи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0,09;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от 0,1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до 2,99;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3 до 4,99;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5 и более</w:t>
            </w:r>
          </w:p>
        </w:tc>
      </w:tr>
      <w:tr w:rsidR="00340CC3" w:rsidRPr="002F7E31" w:rsidTr="00E61180">
        <w:trPr>
          <w:gridAfter w:val="1"/>
          <w:wAfter w:w="305" w:type="dxa"/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Изменение количества административных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и уголовных правонарушений, совершаемых молодежью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в возрасте от 14 до 18 лет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 xml:space="preserve">и при их соучастии,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по сравнению с предыдущим годом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наблюдается рост правонарушений или количество </w:t>
            </w:r>
            <w:r w:rsidRPr="002F7E31">
              <w:rPr>
                <w:rFonts w:ascii="Times New Roman" w:hAnsi="Times New Roman" w:cs="Times New Roman"/>
                <w:color w:val="000000"/>
                <w:spacing w:val="-2"/>
              </w:rPr>
              <w:t>осталось прежним</w:t>
            </w:r>
            <w:r w:rsidRPr="002F7E3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1 балл – уменьшение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на 0,01 – 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уменьшение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на 10 – 19,99;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уменьшение </w:t>
            </w:r>
            <w:r w:rsidRPr="002F7E31">
              <w:rPr>
                <w:rFonts w:ascii="Times New Roman" w:hAnsi="Times New Roman" w:cs="Times New Roman"/>
                <w:color w:val="000000"/>
              </w:rPr>
              <w:br/>
              <w:t>на 20 и более</w:t>
            </w:r>
          </w:p>
        </w:tc>
      </w:tr>
      <w:tr w:rsidR="00340CC3" w:rsidRPr="002F7E31" w:rsidTr="00E61180">
        <w:trPr>
          <w:trHeight w:val="2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Количество встреч главы городского округа, муниципального района, сельских и городских поселений с активными представителями молодежи соответствующего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0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0 до 3;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1 балл – от 4 до 6;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2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7 до 9;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3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10 до 12;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4 балла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13 до 15;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 xml:space="preserve">5 баллов – </w:t>
            </w: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F7E31">
              <w:rPr>
                <w:rFonts w:ascii="Times New Roman" w:hAnsi="Times New Roman" w:cs="Times New Roman"/>
                <w:color w:val="000000"/>
              </w:rPr>
              <w:t>от 16 и более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340CC3" w:rsidRPr="002F7E31" w:rsidRDefault="00340CC3" w:rsidP="00E6118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736C" w:rsidRDefault="0029736C" w:rsidP="0029736C">
      <w:pPr>
        <w:spacing w:after="0" w:line="240" w:lineRule="auto"/>
        <w:ind w:firstLine="0"/>
        <w:jc w:val="center"/>
      </w:pPr>
    </w:p>
    <w:p w:rsidR="0029736C" w:rsidRDefault="0029736C" w:rsidP="0029736C">
      <w:pPr>
        <w:spacing w:after="0" w:line="240" w:lineRule="auto"/>
        <w:ind w:firstLine="0"/>
        <w:jc w:val="center"/>
      </w:pPr>
      <w:r>
        <w:t>_____________________</w:t>
      </w:r>
    </w:p>
    <w:sectPr w:rsidR="002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12A"/>
    <w:multiLevelType w:val="hybridMultilevel"/>
    <w:tmpl w:val="7040E540"/>
    <w:lvl w:ilvl="0" w:tplc="BF0A8290">
      <w:start w:val="1"/>
      <w:numFmt w:val="decimal"/>
      <w:lvlText w:val="%1)"/>
      <w:lvlJc w:val="left"/>
      <w:pPr>
        <w:ind w:left="1627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47B58"/>
    <w:multiLevelType w:val="hybridMultilevel"/>
    <w:tmpl w:val="6A0CB484"/>
    <w:lvl w:ilvl="0" w:tplc="352EB0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D3D96"/>
    <w:multiLevelType w:val="hybridMultilevel"/>
    <w:tmpl w:val="A50655DA"/>
    <w:lvl w:ilvl="0" w:tplc="F19A55DE">
      <w:start w:val="1"/>
      <w:numFmt w:val="decimal"/>
      <w:lvlText w:val="%1."/>
      <w:lvlJc w:val="left"/>
      <w:pPr>
        <w:ind w:left="1354" w:hanging="6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6B2093"/>
    <w:multiLevelType w:val="hybridMultilevel"/>
    <w:tmpl w:val="EA464620"/>
    <w:lvl w:ilvl="0" w:tplc="EB9A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D5175"/>
    <w:multiLevelType w:val="hybridMultilevel"/>
    <w:tmpl w:val="DD208D16"/>
    <w:lvl w:ilvl="0" w:tplc="0FF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3"/>
    <w:rsid w:val="002409B0"/>
    <w:rsid w:val="002472B9"/>
    <w:rsid w:val="0029736C"/>
    <w:rsid w:val="002C61ED"/>
    <w:rsid w:val="00340CC3"/>
    <w:rsid w:val="007B4609"/>
    <w:rsid w:val="00847A01"/>
    <w:rsid w:val="00916791"/>
    <w:rsid w:val="00A42F01"/>
    <w:rsid w:val="00E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1B85-28BE-4A19-937E-F91B51A1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C3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C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0C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40C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0C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rsid w:val="00340CC3"/>
    <w:pPr>
      <w:spacing w:after="0"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340CC3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9">
    <w:name w:val="footnote text"/>
    <w:basedOn w:val="a"/>
    <w:link w:val="aa"/>
    <w:uiPriority w:val="99"/>
    <w:rsid w:val="00340CC3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340CC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b">
    <w:name w:val="footnote reference"/>
    <w:uiPriority w:val="99"/>
    <w:rsid w:val="00340CC3"/>
    <w:rPr>
      <w:rFonts w:cs="Times New Roman"/>
      <w:vertAlign w:val="superscript"/>
    </w:rPr>
  </w:style>
  <w:style w:type="paragraph" w:styleId="ac">
    <w:name w:val="List Paragraph"/>
    <w:basedOn w:val="a"/>
    <w:qFormat/>
    <w:rsid w:val="00340CC3"/>
    <w:pPr>
      <w:spacing w:line="259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styleId="ad">
    <w:name w:val="Hyperlink"/>
    <w:uiPriority w:val="99"/>
    <w:unhideWhenUsed/>
    <w:rsid w:val="00340CC3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40CC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40C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0CC3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34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9A0D6AE260F84630087DE108D128D1E771E2D21A7FD1CA10A34E80667B1833BCF4E74180AB1756AFF85FA7001DDB8E823A7193D6455954B80B15AnF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9A0D6AE260F84630087DE108D128D1E771E2D21A7FD1CA10A34E80667B1833BCF4E74180AB1756BF886F97901DDB8E823A7193D6455954B80B15AnFL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19A0D6AE260F84630087DE108D128D1E771E2D21A7F91BA70934E80667B1833BCF4E740A0AE9796CF29EF97B148BE9ADn7L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19A0D6AE260F84630099D306E14C811E7F462728A7F04FF95832BF5937B7D67B8F48225A4DBE7F39ABC4AD740B81F7AD74B41A357Bn5LDM" TargetMode="External"/><Relationship Id="rId10" Type="http://schemas.openxmlformats.org/officeDocument/2006/relationships/hyperlink" Target="consultantplus://offline/ref=E619A0D6AE260F84630087DE108D128D1E771E2D21A7F81EA20834E80667B1833BCF4E74180AB1756DFA80FE7A01DDB8E823A7193D6455954B80B15AnF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9A0D6AE260F84630087DE108D128D1E771E2D21A7F81EA20834E80667B1833BCF4E74180AB1756DFA81F87101DDB8E823A7193D6455954B80B15AnF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6</cp:revision>
  <cp:lastPrinted>2021-05-04T12:57:00Z</cp:lastPrinted>
  <dcterms:created xsi:type="dcterms:W3CDTF">2021-05-04T11:47:00Z</dcterms:created>
  <dcterms:modified xsi:type="dcterms:W3CDTF">2021-05-04T12:58:00Z</dcterms:modified>
</cp:coreProperties>
</file>